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9E149" w14:textId="77777777" w:rsidR="001D31D1" w:rsidRPr="005433D1" w:rsidRDefault="00DF4C0F">
      <w:pPr>
        <w:spacing w:after="364" w:line="259" w:lineRule="auto"/>
        <w:ind w:left="0" w:right="-14" w:firstLine="0"/>
        <w:rPr>
          <w:b/>
          <w:sz w:val="20"/>
          <w:szCs w:val="20"/>
        </w:rPr>
      </w:pPr>
      <w:r w:rsidRPr="005433D1">
        <w:rPr>
          <w:rFonts w:ascii="Calibri" w:hAnsi="Calibri"/>
          <w:b/>
          <w:noProof/>
          <w:sz w:val="20"/>
          <w:szCs w:val="20"/>
          <w:lang w:eastAsia="it-IT"/>
        </w:rPr>
        <mc:AlternateContent>
          <mc:Choice Requires="wpg">
            <w:drawing>
              <wp:inline distT="0" distB="0" distL="0" distR="0" wp14:anchorId="1DCCE531" wp14:editId="5881529B">
                <wp:extent cx="5507736" cy="897635"/>
                <wp:effectExtent l="0" t="0" r="0" b="0"/>
                <wp:docPr id="6127" name="Group 6127"/>
                <wp:cNvGraphicFramePr/>
                <a:graphic xmlns:a="http://schemas.openxmlformats.org/drawingml/2006/main">
                  <a:graphicData uri="http://schemas.microsoft.com/office/word/2010/wordprocessingGroup">
                    <wpg:wgp>
                      <wpg:cNvGrpSpPr/>
                      <wpg:grpSpPr>
                        <a:xfrm>
                          <a:off x="0" y="0"/>
                          <a:ext cx="5507736" cy="897635"/>
                          <a:chOff x="0" y="0"/>
                          <a:chExt cx="5507736" cy="897635"/>
                        </a:xfrm>
                      </wpg:grpSpPr>
                      <wps:wsp>
                        <wps:cNvPr id="7295" name="Shape 7295"/>
                        <wps:cNvSpPr/>
                        <wps:spPr>
                          <a:xfrm>
                            <a:off x="0" y="885442"/>
                            <a:ext cx="5507736" cy="12192"/>
                          </a:xfrm>
                          <a:custGeom>
                            <a:avLst/>
                            <a:gdLst/>
                            <a:ahLst/>
                            <a:cxnLst/>
                            <a:rect l="0" t="0" r="0" b="0"/>
                            <a:pathLst>
                              <a:path w="5507736" h="12192">
                                <a:moveTo>
                                  <a:pt x="0" y="0"/>
                                </a:moveTo>
                                <a:lnTo>
                                  <a:pt x="5507736" y="0"/>
                                </a:lnTo>
                                <a:lnTo>
                                  <a:pt x="550773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96" name="Shape 7296"/>
                        <wps:cNvSpPr/>
                        <wps:spPr>
                          <a:xfrm>
                            <a:off x="0" y="862583"/>
                            <a:ext cx="5507736" cy="12192"/>
                          </a:xfrm>
                          <a:custGeom>
                            <a:avLst/>
                            <a:gdLst/>
                            <a:ahLst/>
                            <a:cxnLst/>
                            <a:rect l="0" t="0" r="0" b="0"/>
                            <a:pathLst>
                              <a:path w="5507736" h="12192">
                                <a:moveTo>
                                  <a:pt x="0" y="0"/>
                                </a:moveTo>
                                <a:lnTo>
                                  <a:pt x="5507736" y="0"/>
                                </a:lnTo>
                                <a:lnTo>
                                  <a:pt x="550773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9" name="Picture 49"/>
                          <pic:cNvPicPr/>
                        </pic:nvPicPr>
                        <pic:blipFill>
                          <a:blip r:embed="rId7"/>
                          <a:stretch>
                            <a:fillRect/>
                          </a:stretch>
                        </pic:blipFill>
                        <pic:spPr>
                          <a:xfrm>
                            <a:off x="1524" y="0"/>
                            <a:ext cx="1482852" cy="737616"/>
                          </a:xfrm>
                          <a:prstGeom prst="rect">
                            <a:avLst/>
                          </a:prstGeom>
                        </pic:spPr>
                      </pic:pic>
                    </wpg:wgp>
                  </a:graphicData>
                </a:graphic>
              </wp:inline>
            </w:drawing>
          </mc:Choice>
          <mc:Fallback xmlns:a="http://schemas.openxmlformats.org/drawingml/2006/main">
            <w:pict>
              <v:group id="Group 6127" style="width:433.68pt;height:70.6799pt;mso-position-horizontal-relative:char;mso-position-vertical-relative:line" coordsize="55077,8976">
                <v:shape id="Shape 7297" style="position:absolute;width:55077;height:121;left:0;top:8854;" coordsize="5507736,12192" path="m0,0l5507736,0l5507736,12192l0,12192l0,0">
                  <v:stroke weight="0pt" endcap="flat" joinstyle="miter" miterlimit="10" on="false" color="#000000" opacity="0"/>
                  <v:fill on="true" color="#000000"/>
                </v:shape>
                <v:shape id="Shape 7298" style="position:absolute;width:55077;height:121;left:0;top:8625;" coordsize="5507736,12192" path="m0,0l5507736,0l5507736,12192l0,12192l0,0">
                  <v:stroke weight="0pt" endcap="flat" joinstyle="miter" miterlimit="10" on="false" color="#000000" opacity="0"/>
                  <v:fill on="true" color="#000000"/>
                </v:shape>
                <v:shape id="Picture 49" style="position:absolute;width:14828;height:7376;left:15;top:0;" filled="f">
                  <v:imagedata r:id="rId8"/>
                </v:shape>
              </v:group>
            </w:pict>
          </mc:Fallback>
        </mc:AlternateContent>
      </w:r>
    </w:p>
    <w:p w14:paraId="08946738" w14:textId="77777777" w:rsidR="005433D1" w:rsidRPr="005433D1" w:rsidRDefault="005433D1" w:rsidP="005433D1">
      <w:pPr>
        <w:spacing w:after="145"/>
        <w:ind w:left="-5" w:right="2"/>
        <w:jc w:val="center"/>
        <w:rPr>
          <w:b/>
          <w:sz w:val="20"/>
          <w:szCs w:val="20"/>
        </w:rPr>
      </w:pPr>
      <w:r w:rsidRPr="005433D1">
        <w:rPr>
          <w:b/>
          <w:sz w:val="20"/>
          <w:szCs w:val="20"/>
        </w:rPr>
        <w:t>FAQ relative alla possibilità di fare ingresso in Germania</w:t>
      </w:r>
    </w:p>
    <w:p w14:paraId="40487D93" w14:textId="77777777" w:rsidR="005433D1" w:rsidRPr="005433D1" w:rsidRDefault="005433D1" w:rsidP="0077200C">
      <w:pPr>
        <w:spacing w:after="145"/>
        <w:ind w:left="-5" w:right="2"/>
        <w:rPr>
          <w:sz w:val="20"/>
          <w:szCs w:val="20"/>
        </w:rPr>
      </w:pPr>
    </w:p>
    <w:p w14:paraId="38064D04" w14:textId="77777777" w:rsidR="0077200C" w:rsidRPr="005433D1" w:rsidRDefault="00843719" w:rsidP="005433D1">
      <w:pPr>
        <w:spacing w:after="145"/>
        <w:ind w:left="-5" w:right="2"/>
        <w:jc w:val="both"/>
        <w:rPr>
          <w:sz w:val="20"/>
          <w:szCs w:val="20"/>
        </w:rPr>
      </w:pPr>
      <w:r w:rsidRPr="005433D1">
        <w:rPr>
          <w:sz w:val="20"/>
          <w:szCs w:val="20"/>
        </w:rPr>
        <w:t>[…] è consentito il</w:t>
      </w:r>
      <w:r w:rsidRPr="005433D1">
        <w:rPr>
          <w:b/>
          <w:bCs/>
          <w:sz w:val="20"/>
          <w:szCs w:val="20"/>
        </w:rPr>
        <w:t xml:space="preserve"> viaggio di rientro</w:t>
      </w:r>
      <w:r w:rsidRPr="005433D1">
        <w:rPr>
          <w:sz w:val="20"/>
          <w:szCs w:val="20"/>
        </w:rPr>
        <w:t xml:space="preserve"> nel proprio Stato di origine o alla propria residenza abituale in Germania o in un altro Stato, unitamente ai propri familiari, ai cittadini dell'Unione Europea e quelli del Regno Unito, del Liechtenstein, della Svizzera, della Norvegia e dell'Islanda. In generale, il transito attraverso la Germania è consentito solo a condizione che non vi siano </w:t>
      </w:r>
      <w:r w:rsidR="00E301A2" w:rsidRPr="005433D1">
        <w:rPr>
          <w:sz w:val="20"/>
          <w:szCs w:val="20"/>
        </w:rPr>
        <w:t xml:space="preserve">altre </w:t>
      </w:r>
      <w:r w:rsidRPr="005433D1">
        <w:rPr>
          <w:sz w:val="20"/>
          <w:szCs w:val="20"/>
        </w:rPr>
        <w:t>alternative di viaggio e che il proseguimento del viaggio anche attraverso gli Stati di transito risulti garantito. Occorre documentare in modo credibile le finalità di viaggio e i requisiti di ingresso per i paesi di destinazione e di transito, ad esempio con attestati di residenza, documenti di viaggio o biglietti aerei. In presenza di tali presupposti, è anche possibile entrare nel paese via terra per partire da un aeroporto sito in Germania. Ciò vale, mutatis mutandis, per il rientro dei cittadini di paesi terzi nel loro paese d'origine o nel paese in cui hanno diritto di soggiornare in funzione di un permesso di soggiorno di lunga durata, compreso un visto per soggiorni di lunga durata.</w:t>
      </w:r>
    </w:p>
    <w:p w14:paraId="64C55969" w14:textId="77777777" w:rsidR="0077200C" w:rsidRPr="005433D1" w:rsidRDefault="0077200C" w:rsidP="005433D1">
      <w:pPr>
        <w:spacing w:after="145"/>
        <w:ind w:left="-5" w:right="2"/>
        <w:jc w:val="both"/>
        <w:rPr>
          <w:sz w:val="20"/>
          <w:szCs w:val="20"/>
        </w:rPr>
      </w:pPr>
      <w:r w:rsidRPr="005433D1">
        <w:rPr>
          <w:sz w:val="20"/>
          <w:szCs w:val="20"/>
        </w:rPr>
        <w:t xml:space="preserve">Per il resto, ai </w:t>
      </w:r>
      <w:r w:rsidRPr="005433D1">
        <w:rPr>
          <w:b/>
          <w:bCs/>
          <w:sz w:val="20"/>
          <w:szCs w:val="20"/>
        </w:rPr>
        <w:t xml:space="preserve">viaggiatori sprovvisti di cittadinanza tedesca </w:t>
      </w:r>
      <w:r w:rsidRPr="005433D1">
        <w:rPr>
          <w:sz w:val="20"/>
          <w:szCs w:val="20"/>
        </w:rPr>
        <w:t>è consentito entrare in Germania solo in presenza di un </w:t>
      </w:r>
      <w:r w:rsidRPr="005433D1">
        <w:rPr>
          <w:b/>
          <w:bCs/>
          <w:sz w:val="20"/>
          <w:szCs w:val="20"/>
        </w:rPr>
        <w:t>motivo urgente</w:t>
      </w:r>
      <w:r w:rsidRPr="005433D1">
        <w:rPr>
          <w:sz w:val="20"/>
          <w:szCs w:val="20"/>
        </w:rPr>
        <w:t>.</w:t>
      </w:r>
    </w:p>
    <w:p w14:paraId="0203EB83" w14:textId="77777777" w:rsidR="0077200C" w:rsidRPr="005433D1" w:rsidRDefault="0077200C" w:rsidP="005433D1">
      <w:pPr>
        <w:spacing w:after="145"/>
        <w:ind w:left="-5" w:right="2"/>
        <w:jc w:val="both"/>
        <w:rPr>
          <w:sz w:val="20"/>
          <w:szCs w:val="20"/>
        </w:rPr>
      </w:pPr>
      <w:r w:rsidRPr="005433D1">
        <w:rPr>
          <w:b/>
          <w:bCs/>
          <w:sz w:val="20"/>
          <w:szCs w:val="20"/>
        </w:rPr>
        <w:t>Figurano motivi urgenti</w:t>
      </w:r>
      <w:r w:rsidRPr="005433D1">
        <w:rPr>
          <w:sz w:val="20"/>
          <w:szCs w:val="20"/>
        </w:rPr>
        <w:t xml:space="preserve"> di ingresso, in particolare, nei casi qui di seguito elencati. I motivi urgenti vanno in generale comprovati in modo credibile esibendo appositi giustificativi o con altra congrua modalità. </w:t>
      </w:r>
    </w:p>
    <w:p w14:paraId="6B6EB650" w14:textId="77777777" w:rsidR="0077200C" w:rsidRPr="005433D1" w:rsidRDefault="0077200C" w:rsidP="005433D1">
      <w:pPr>
        <w:numPr>
          <w:ilvl w:val="0"/>
          <w:numId w:val="6"/>
        </w:numPr>
        <w:spacing w:after="145"/>
        <w:ind w:right="2"/>
        <w:jc w:val="both"/>
        <w:rPr>
          <w:sz w:val="20"/>
          <w:szCs w:val="20"/>
        </w:rPr>
      </w:pPr>
      <w:r w:rsidRPr="005433D1">
        <w:rPr>
          <w:b/>
          <w:bCs/>
          <w:sz w:val="20"/>
          <w:szCs w:val="20"/>
        </w:rPr>
        <w:t>Motivi di lavoro</w:t>
      </w:r>
    </w:p>
    <w:p w14:paraId="1154FDF9" w14:textId="77777777" w:rsidR="0077200C" w:rsidRPr="005433D1" w:rsidRDefault="0077200C" w:rsidP="005433D1">
      <w:pPr>
        <w:numPr>
          <w:ilvl w:val="1"/>
          <w:numId w:val="6"/>
        </w:numPr>
        <w:spacing w:after="145"/>
        <w:ind w:right="2"/>
        <w:jc w:val="both"/>
        <w:rPr>
          <w:sz w:val="20"/>
          <w:szCs w:val="20"/>
        </w:rPr>
      </w:pPr>
      <w:r w:rsidRPr="005433D1">
        <w:rPr>
          <w:sz w:val="20"/>
          <w:szCs w:val="20"/>
        </w:rPr>
        <w:t>Attività professionali limitate</w:t>
      </w:r>
      <w:r w:rsidRPr="005433D1">
        <w:rPr>
          <w:b/>
          <w:bCs/>
          <w:sz w:val="20"/>
          <w:szCs w:val="20"/>
        </w:rPr>
        <w:t xml:space="preserve"> ai settori di attività critici</w:t>
      </w:r>
      <w:r w:rsidRPr="005433D1">
        <w:rPr>
          <w:sz w:val="20"/>
          <w:szCs w:val="20"/>
        </w:rPr>
        <w:t xml:space="preserve">, come da comunicazione </w:t>
      </w:r>
      <w:hyperlink r:id="rId9" w:history="1">
        <w:r w:rsidRPr="005433D1">
          <w:rPr>
            <w:rStyle w:val="Collegamentoipertestuale"/>
            <w:sz w:val="20"/>
            <w:szCs w:val="20"/>
          </w:rPr>
          <w:t>COM (2020/C 102 I/03)</w:t>
        </w:r>
      </w:hyperlink>
    </w:p>
    <w:p w14:paraId="049FFB06" w14:textId="77777777" w:rsidR="0077200C" w:rsidRPr="005433D1" w:rsidRDefault="0077200C" w:rsidP="005433D1">
      <w:pPr>
        <w:numPr>
          <w:ilvl w:val="1"/>
          <w:numId w:val="6"/>
        </w:numPr>
        <w:spacing w:after="145"/>
        <w:ind w:right="2"/>
        <w:jc w:val="both"/>
        <w:rPr>
          <w:sz w:val="20"/>
          <w:szCs w:val="20"/>
        </w:rPr>
      </w:pPr>
      <w:r w:rsidRPr="005433D1">
        <w:rPr>
          <w:sz w:val="20"/>
          <w:szCs w:val="20"/>
        </w:rPr>
        <w:t>Imbarco per ingaggio a bordo o sbarco per fine ingaggio di </w:t>
      </w:r>
      <w:r w:rsidRPr="005433D1">
        <w:rPr>
          <w:b/>
          <w:bCs/>
          <w:sz w:val="20"/>
          <w:szCs w:val="20"/>
        </w:rPr>
        <w:t>marittimi e addetti alla navigazione interna</w:t>
      </w:r>
    </w:p>
    <w:p w14:paraId="086DC630" w14:textId="77777777" w:rsidR="0077200C" w:rsidRPr="005433D1" w:rsidRDefault="0077200C" w:rsidP="005433D1">
      <w:pPr>
        <w:numPr>
          <w:ilvl w:val="1"/>
          <w:numId w:val="6"/>
        </w:numPr>
        <w:spacing w:after="145"/>
        <w:ind w:right="2"/>
        <w:jc w:val="both"/>
        <w:rPr>
          <w:sz w:val="20"/>
          <w:szCs w:val="20"/>
        </w:rPr>
      </w:pPr>
      <w:r w:rsidRPr="005433D1">
        <w:rPr>
          <w:b/>
          <w:bCs/>
          <w:sz w:val="20"/>
          <w:szCs w:val="20"/>
        </w:rPr>
        <w:t>Lavoratori stagionali</w:t>
      </w:r>
      <w:r w:rsidRPr="005433D1">
        <w:rPr>
          <w:sz w:val="20"/>
          <w:szCs w:val="20"/>
        </w:rPr>
        <w:t> in agricoltura secondo la procedura concordata con la Federazione tedesca degli agricoltori (Bauernverband)</w:t>
      </w:r>
    </w:p>
    <w:p w14:paraId="7658CAF8" w14:textId="77777777" w:rsidR="0077200C" w:rsidRPr="005433D1" w:rsidRDefault="0077200C" w:rsidP="005433D1">
      <w:pPr>
        <w:numPr>
          <w:ilvl w:val="1"/>
          <w:numId w:val="6"/>
        </w:numPr>
        <w:spacing w:after="145"/>
        <w:ind w:right="2"/>
        <w:jc w:val="both"/>
        <w:rPr>
          <w:sz w:val="20"/>
          <w:szCs w:val="20"/>
        </w:rPr>
      </w:pPr>
      <w:r w:rsidRPr="005433D1">
        <w:rPr>
          <w:b/>
          <w:bCs/>
          <w:sz w:val="20"/>
          <w:szCs w:val="20"/>
        </w:rPr>
        <w:t>Transito per finalità di lavoro, compresa la formazione professionale e gli studi</w:t>
      </w:r>
      <w:r w:rsidRPr="005433D1">
        <w:rPr>
          <w:sz w:val="20"/>
          <w:szCs w:val="20"/>
        </w:rPr>
        <w:t xml:space="preserve">, a condizione che si possa comprovare che l'ingresso nel paese di destinazione è possibile e che non esistano </w:t>
      </w:r>
      <w:r w:rsidR="00E301A2" w:rsidRPr="005433D1">
        <w:rPr>
          <w:sz w:val="20"/>
          <w:szCs w:val="20"/>
        </w:rPr>
        <w:t>altre alternative di viaggio</w:t>
      </w:r>
    </w:p>
    <w:p w14:paraId="476F7A63" w14:textId="77777777" w:rsidR="0077200C" w:rsidRPr="005433D1" w:rsidRDefault="0077200C" w:rsidP="005433D1">
      <w:pPr>
        <w:numPr>
          <w:ilvl w:val="0"/>
          <w:numId w:val="7"/>
        </w:numPr>
        <w:spacing w:after="145"/>
        <w:ind w:right="2"/>
        <w:jc w:val="both"/>
        <w:rPr>
          <w:sz w:val="20"/>
          <w:szCs w:val="20"/>
        </w:rPr>
      </w:pPr>
      <w:r w:rsidRPr="005433D1">
        <w:rPr>
          <w:b/>
          <w:bCs/>
          <w:sz w:val="20"/>
          <w:szCs w:val="20"/>
        </w:rPr>
        <w:t>Motivi di famiglia</w:t>
      </w:r>
    </w:p>
    <w:p w14:paraId="1AB71031" w14:textId="77777777" w:rsidR="0077200C" w:rsidRPr="005433D1" w:rsidRDefault="0077200C" w:rsidP="005433D1">
      <w:pPr>
        <w:numPr>
          <w:ilvl w:val="1"/>
          <w:numId w:val="7"/>
        </w:numPr>
        <w:spacing w:after="145"/>
        <w:ind w:right="2"/>
        <w:jc w:val="both"/>
        <w:rPr>
          <w:sz w:val="20"/>
          <w:szCs w:val="20"/>
        </w:rPr>
      </w:pPr>
      <w:r w:rsidRPr="005433D1">
        <w:rPr>
          <w:b/>
          <w:bCs/>
          <w:sz w:val="20"/>
          <w:szCs w:val="20"/>
        </w:rPr>
        <w:t>Accompagnamento</w:t>
      </w:r>
      <w:r w:rsidRPr="005433D1">
        <w:rPr>
          <w:sz w:val="20"/>
          <w:szCs w:val="20"/>
        </w:rPr>
        <w:t> del coniuge o convivente registrato tedesco all’abitazione o per acquisire il domicilio in Germania</w:t>
      </w:r>
    </w:p>
    <w:p w14:paraId="7BF4F4AD" w14:textId="77777777" w:rsidR="0077200C" w:rsidRPr="005433D1" w:rsidRDefault="0077200C" w:rsidP="005433D1">
      <w:pPr>
        <w:numPr>
          <w:ilvl w:val="1"/>
          <w:numId w:val="7"/>
        </w:numPr>
        <w:spacing w:after="145"/>
        <w:ind w:right="2"/>
        <w:jc w:val="both"/>
        <w:rPr>
          <w:sz w:val="20"/>
          <w:szCs w:val="20"/>
        </w:rPr>
      </w:pPr>
      <w:r w:rsidRPr="005433D1">
        <w:rPr>
          <w:b/>
          <w:bCs/>
          <w:sz w:val="20"/>
          <w:szCs w:val="20"/>
        </w:rPr>
        <w:t>Ricongiungimento familiare</w:t>
      </w:r>
      <w:r w:rsidRPr="005433D1">
        <w:rPr>
          <w:sz w:val="20"/>
          <w:szCs w:val="20"/>
        </w:rPr>
        <w:t> con il coniuge o convivente registrato (tedesco o titolare del diritto alla libera circolazione) residente in Germania per fissarvi il proprio domicilio o per acquisire un domicilio comune. Per i cittadini di paesi terzi, l'ingresso è possibile solo se provvisti già di visto D.</w:t>
      </w:r>
    </w:p>
    <w:p w14:paraId="7F5B789F" w14:textId="77777777" w:rsidR="0077200C" w:rsidRPr="005433D1" w:rsidRDefault="0077200C" w:rsidP="005433D1">
      <w:pPr>
        <w:numPr>
          <w:ilvl w:val="1"/>
          <w:numId w:val="7"/>
        </w:numPr>
        <w:spacing w:after="145"/>
        <w:ind w:right="2"/>
        <w:jc w:val="both"/>
        <w:rPr>
          <w:sz w:val="20"/>
          <w:szCs w:val="20"/>
        </w:rPr>
      </w:pPr>
      <w:r w:rsidRPr="005433D1">
        <w:rPr>
          <w:b/>
          <w:bCs/>
          <w:sz w:val="20"/>
          <w:szCs w:val="20"/>
        </w:rPr>
        <w:t>Accompagnamento in Germania</w:t>
      </w:r>
      <w:r w:rsidR="00DE3D73" w:rsidRPr="005433D1">
        <w:rPr>
          <w:b/>
          <w:bCs/>
          <w:sz w:val="20"/>
          <w:szCs w:val="20"/>
        </w:rPr>
        <w:t xml:space="preserve"> da parte del titolare della potestà</w:t>
      </w:r>
      <w:r w:rsidRPr="005433D1">
        <w:rPr>
          <w:b/>
          <w:bCs/>
          <w:sz w:val="20"/>
          <w:szCs w:val="20"/>
        </w:rPr>
        <w:t xml:space="preserve"> dei figli tedeschi</w:t>
      </w:r>
      <w:r w:rsidRPr="005433D1">
        <w:rPr>
          <w:sz w:val="20"/>
          <w:szCs w:val="20"/>
        </w:rPr>
        <w:t xml:space="preserve"> per l’acquisizione del domicilio, anche se il coniuge o convivente tedesco rimane all'estero</w:t>
      </w:r>
    </w:p>
    <w:p w14:paraId="732F5BA0" w14:textId="77777777" w:rsidR="0077200C" w:rsidRPr="005433D1" w:rsidRDefault="0077200C" w:rsidP="005433D1">
      <w:pPr>
        <w:numPr>
          <w:ilvl w:val="1"/>
          <w:numId w:val="7"/>
        </w:numPr>
        <w:spacing w:after="145"/>
        <w:ind w:right="2"/>
        <w:jc w:val="both"/>
        <w:rPr>
          <w:sz w:val="20"/>
          <w:szCs w:val="20"/>
        </w:rPr>
      </w:pPr>
      <w:r w:rsidRPr="005433D1">
        <w:rPr>
          <w:b/>
          <w:bCs/>
          <w:sz w:val="20"/>
          <w:szCs w:val="20"/>
        </w:rPr>
        <w:t>Visita del coniuge o convivente registrato</w:t>
      </w:r>
      <w:r w:rsidRPr="005433D1">
        <w:rPr>
          <w:sz w:val="20"/>
          <w:szCs w:val="20"/>
        </w:rPr>
        <w:t>, se uno dei partner dispone di domicilio in Germania; nel caso di altre convivenze, ciò vale solo se si può comprovare la presenza di regime assimilabile a matrimonio.</w:t>
      </w:r>
    </w:p>
    <w:p w14:paraId="7ADB10AB" w14:textId="77777777" w:rsidR="0077200C" w:rsidRPr="005433D1" w:rsidRDefault="00DE3D73" w:rsidP="005433D1">
      <w:pPr>
        <w:numPr>
          <w:ilvl w:val="1"/>
          <w:numId w:val="7"/>
        </w:numPr>
        <w:spacing w:after="145"/>
        <w:ind w:right="2"/>
        <w:jc w:val="both"/>
        <w:rPr>
          <w:sz w:val="20"/>
          <w:szCs w:val="20"/>
        </w:rPr>
      </w:pPr>
      <w:r w:rsidRPr="005433D1">
        <w:rPr>
          <w:b/>
          <w:bCs/>
          <w:sz w:val="20"/>
          <w:szCs w:val="20"/>
        </w:rPr>
        <w:t>Aspetti attinenti la</w:t>
      </w:r>
      <w:r w:rsidR="0077200C" w:rsidRPr="005433D1">
        <w:rPr>
          <w:b/>
          <w:bCs/>
          <w:sz w:val="20"/>
          <w:szCs w:val="20"/>
        </w:rPr>
        <w:t xml:space="preserve"> potestà e</w:t>
      </w:r>
      <w:r w:rsidRPr="005433D1">
        <w:rPr>
          <w:b/>
          <w:bCs/>
          <w:sz w:val="20"/>
          <w:szCs w:val="20"/>
        </w:rPr>
        <w:t xml:space="preserve"> il</w:t>
      </w:r>
      <w:r w:rsidR="0077200C" w:rsidRPr="005433D1">
        <w:rPr>
          <w:b/>
          <w:bCs/>
          <w:sz w:val="20"/>
          <w:szCs w:val="20"/>
        </w:rPr>
        <w:t xml:space="preserve"> diritto di frequentazione</w:t>
      </w:r>
      <w:r w:rsidR="0077200C" w:rsidRPr="005433D1">
        <w:rPr>
          <w:sz w:val="20"/>
          <w:szCs w:val="20"/>
        </w:rPr>
        <w:t> </w:t>
      </w:r>
      <w:r w:rsidRPr="005433D1">
        <w:rPr>
          <w:sz w:val="20"/>
          <w:szCs w:val="20"/>
        </w:rPr>
        <w:t xml:space="preserve">in </w:t>
      </w:r>
      <w:r w:rsidR="0077200C" w:rsidRPr="005433D1">
        <w:rPr>
          <w:sz w:val="20"/>
          <w:szCs w:val="20"/>
        </w:rPr>
        <w:t>rela</w:t>
      </w:r>
      <w:r w:rsidRPr="005433D1">
        <w:rPr>
          <w:sz w:val="20"/>
          <w:szCs w:val="20"/>
        </w:rPr>
        <w:t>zione</w:t>
      </w:r>
      <w:r w:rsidR="0077200C" w:rsidRPr="005433D1">
        <w:rPr>
          <w:sz w:val="20"/>
          <w:szCs w:val="20"/>
        </w:rPr>
        <w:t xml:space="preserve"> alla cura di figli minorenni, compreso reciproco fare visita/prelievo dei figli</w:t>
      </w:r>
    </w:p>
    <w:p w14:paraId="411B6097" w14:textId="77777777" w:rsidR="0077200C" w:rsidRPr="005433D1" w:rsidRDefault="0077200C" w:rsidP="005433D1">
      <w:pPr>
        <w:numPr>
          <w:ilvl w:val="1"/>
          <w:numId w:val="7"/>
        </w:numPr>
        <w:spacing w:after="145"/>
        <w:ind w:right="2"/>
        <w:jc w:val="both"/>
        <w:rPr>
          <w:sz w:val="20"/>
          <w:szCs w:val="20"/>
        </w:rPr>
      </w:pPr>
      <w:r w:rsidRPr="005433D1">
        <w:rPr>
          <w:b/>
          <w:bCs/>
          <w:sz w:val="20"/>
          <w:szCs w:val="20"/>
        </w:rPr>
        <w:t xml:space="preserve">Parto </w:t>
      </w:r>
      <w:r w:rsidRPr="005433D1">
        <w:rPr>
          <w:sz w:val="20"/>
          <w:szCs w:val="20"/>
        </w:rPr>
        <w:t>di moglie, convivente registrata o non registrata</w:t>
      </w:r>
    </w:p>
    <w:p w14:paraId="52554D0F" w14:textId="77777777" w:rsidR="0077200C" w:rsidRPr="005433D1" w:rsidRDefault="0077200C" w:rsidP="005433D1">
      <w:pPr>
        <w:numPr>
          <w:ilvl w:val="1"/>
          <w:numId w:val="7"/>
        </w:numPr>
        <w:spacing w:after="145"/>
        <w:ind w:right="2"/>
        <w:jc w:val="both"/>
        <w:rPr>
          <w:sz w:val="20"/>
          <w:szCs w:val="20"/>
        </w:rPr>
      </w:pPr>
      <w:r w:rsidRPr="005433D1">
        <w:rPr>
          <w:sz w:val="20"/>
          <w:szCs w:val="20"/>
        </w:rPr>
        <w:t>Partecipazione a </w:t>
      </w:r>
      <w:r w:rsidRPr="005433D1">
        <w:rPr>
          <w:b/>
          <w:bCs/>
          <w:sz w:val="20"/>
          <w:szCs w:val="20"/>
        </w:rPr>
        <w:t>funerale</w:t>
      </w:r>
      <w:r w:rsidRPr="005433D1">
        <w:rPr>
          <w:sz w:val="20"/>
          <w:szCs w:val="20"/>
        </w:rPr>
        <w:t> di congiunto fino al secondo grado di parentela: coniuge, figli, nipoti, genitori, nonni, fratelli e sorelle</w:t>
      </w:r>
    </w:p>
    <w:p w14:paraId="2D7A07E0" w14:textId="77777777" w:rsidR="0077200C" w:rsidRPr="005433D1" w:rsidRDefault="0077200C" w:rsidP="005433D1">
      <w:pPr>
        <w:spacing w:after="145"/>
        <w:ind w:left="-5" w:right="2"/>
        <w:jc w:val="both"/>
        <w:rPr>
          <w:sz w:val="20"/>
          <w:szCs w:val="20"/>
        </w:rPr>
      </w:pPr>
    </w:p>
    <w:p w14:paraId="3D8CE488" w14:textId="77777777" w:rsidR="0077200C" w:rsidRPr="005433D1" w:rsidRDefault="0077200C" w:rsidP="005433D1">
      <w:pPr>
        <w:numPr>
          <w:ilvl w:val="0"/>
          <w:numId w:val="8"/>
        </w:numPr>
        <w:spacing w:after="145"/>
        <w:ind w:right="2"/>
        <w:jc w:val="both"/>
        <w:rPr>
          <w:sz w:val="20"/>
          <w:szCs w:val="20"/>
        </w:rPr>
      </w:pPr>
      <w:r w:rsidRPr="005433D1">
        <w:rPr>
          <w:b/>
          <w:bCs/>
          <w:sz w:val="20"/>
          <w:szCs w:val="20"/>
        </w:rPr>
        <w:t>Motivi di carattere medico, cure di assistenza</w:t>
      </w:r>
    </w:p>
    <w:p w14:paraId="61280C2C" w14:textId="77777777" w:rsidR="0077200C" w:rsidRPr="005433D1" w:rsidRDefault="0077200C" w:rsidP="005433D1">
      <w:pPr>
        <w:numPr>
          <w:ilvl w:val="1"/>
          <w:numId w:val="8"/>
        </w:numPr>
        <w:spacing w:after="145"/>
        <w:ind w:right="2"/>
        <w:jc w:val="both"/>
        <w:rPr>
          <w:sz w:val="20"/>
          <w:szCs w:val="20"/>
        </w:rPr>
      </w:pPr>
      <w:r w:rsidRPr="005433D1">
        <w:rPr>
          <w:sz w:val="20"/>
          <w:szCs w:val="20"/>
        </w:rPr>
        <w:t>Cure di assistenza a familiari che vivono in Germania</w:t>
      </w:r>
    </w:p>
    <w:p w14:paraId="5867DADC" w14:textId="77777777" w:rsidR="0077200C" w:rsidRPr="005433D1" w:rsidRDefault="0077200C" w:rsidP="005433D1">
      <w:pPr>
        <w:numPr>
          <w:ilvl w:val="1"/>
          <w:numId w:val="8"/>
        </w:numPr>
        <w:spacing w:after="145"/>
        <w:ind w:right="2"/>
        <w:jc w:val="both"/>
        <w:rPr>
          <w:sz w:val="20"/>
          <w:szCs w:val="20"/>
        </w:rPr>
      </w:pPr>
      <w:r w:rsidRPr="005433D1">
        <w:rPr>
          <w:sz w:val="20"/>
          <w:szCs w:val="20"/>
        </w:rPr>
        <w:t>Trattamento medico</w:t>
      </w:r>
    </w:p>
    <w:p w14:paraId="234412D3" w14:textId="77777777" w:rsidR="0077200C" w:rsidRPr="005433D1" w:rsidRDefault="0077200C" w:rsidP="005433D1">
      <w:pPr>
        <w:numPr>
          <w:ilvl w:val="0"/>
          <w:numId w:val="9"/>
        </w:numPr>
        <w:spacing w:after="145"/>
        <w:ind w:right="2"/>
        <w:jc w:val="both"/>
        <w:rPr>
          <w:sz w:val="20"/>
          <w:szCs w:val="20"/>
        </w:rPr>
      </w:pPr>
      <w:r w:rsidRPr="005433D1">
        <w:rPr>
          <w:b/>
          <w:bCs/>
          <w:sz w:val="20"/>
          <w:szCs w:val="20"/>
        </w:rPr>
        <w:t>Finalità formative, scolastiche e di studio, scuole materne comprese</w:t>
      </w:r>
    </w:p>
    <w:p w14:paraId="0592E785" w14:textId="77777777" w:rsidR="0077200C" w:rsidRPr="005433D1" w:rsidRDefault="0077200C" w:rsidP="005433D1">
      <w:pPr>
        <w:numPr>
          <w:ilvl w:val="1"/>
          <w:numId w:val="9"/>
        </w:numPr>
        <w:spacing w:after="145"/>
        <w:ind w:right="2"/>
        <w:jc w:val="both"/>
        <w:rPr>
          <w:sz w:val="20"/>
          <w:szCs w:val="20"/>
        </w:rPr>
      </w:pPr>
      <w:r w:rsidRPr="005433D1">
        <w:rPr>
          <w:sz w:val="20"/>
          <w:szCs w:val="20"/>
        </w:rPr>
        <w:t>Prosecuzione della formazione o degli studi in caso di necessità di frequenza, fermo restando che il rientro a domicilio è consentito a prescindere</w:t>
      </w:r>
    </w:p>
    <w:p w14:paraId="6FC89C00" w14:textId="77777777" w:rsidR="0077200C" w:rsidRPr="005433D1" w:rsidRDefault="00DE3D73" w:rsidP="005433D1">
      <w:pPr>
        <w:numPr>
          <w:ilvl w:val="1"/>
          <w:numId w:val="9"/>
        </w:numPr>
        <w:spacing w:after="145"/>
        <w:ind w:right="2"/>
        <w:jc w:val="both"/>
        <w:rPr>
          <w:sz w:val="20"/>
          <w:szCs w:val="20"/>
        </w:rPr>
      </w:pPr>
      <w:r w:rsidRPr="005433D1">
        <w:rPr>
          <w:sz w:val="20"/>
          <w:szCs w:val="20"/>
        </w:rPr>
        <w:t>Primo viaggio di ingresso: c</w:t>
      </w:r>
      <w:r w:rsidR="0077200C" w:rsidRPr="005433D1">
        <w:rPr>
          <w:sz w:val="20"/>
          <w:szCs w:val="20"/>
        </w:rPr>
        <w:t>ertificato della struttura didattica o di studio sulla necessità della presenza personale e attestato del possesso di alloggio</w:t>
      </w:r>
    </w:p>
    <w:p w14:paraId="7E159F29" w14:textId="77777777" w:rsidR="0077200C" w:rsidRPr="005433D1" w:rsidRDefault="0077200C" w:rsidP="005433D1">
      <w:pPr>
        <w:numPr>
          <w:ilvl w:val="1"/>
          <w:numId w:val="9"/>
        </w:numPr>
        <w:spacing w:after="145"/>
        <w:ind w:right="2"/>
        <w:jc w:val="both"/>
        <w:rPr>
          <w:sz w:val="20"/>
          <w:szCs w:val="20"/>
        </w:rPr>
      </w:pPr>
      <w:r w:rsidRPr="005433D1">
        <w:rPr>
          <w:sz w:val="20"/>
          <w:szCs w:val="20"/>
        </w:rPr>
        <w:t>Pendol</w:t>
      </w:r>
      <w:r w:rsidR="00DE3D73" w:rsidRPr="005433D1">
        <w:rPr>
          <w:sz w:val="20"/>
          <w:szCs w:val="20"/>
        </w:rPr>
        <w:t>arismo alle frontiere interne: c</w:t>
      </w:r>
      <w:r w:rsidRPr="005433D1">
        <w:rPr>
          <w:sz w:val="20"/>
          <w:szCs w:val="20"/>
        </w:rPr>
        <w:t>ertificato della struttura didattica o di studio sulla necessità della presenza personale</w:t>
      </w:r>
    </w:p>
    <w:p w14:paraId="1E87EF24" w14:textId="77777777" w:rsidR="0077200C" w:rsidRPr="005433D1" w:rsidRDefault="0077200C" w:rsidP="005433D1">
      <w:pPr>
        <w:numPr>
          <w:ilvl w:val="1"/>
          <w:numId w:val="9"/>
        </w:numPr>
        <w:spacing w:after="145"/>
        <w:ind w:right="2"/>
        <w:jc w:val="both"/>
        <w:rPr>
          <w:sz w:val="20"/>
          <w:szCs w:val="20"/>
        </w:rPr>
      </w:pPr>
      <w:r w:rsidRPr="005433D1">
        <w:rPr>
          <w:sz w:val="20"/>
          <w:szCs w:val="20"/>
        </w:rPr>
        <w:t>Trasporto necessario per giungere alla struttura didattica, scolastica, di studio o alla scuola materna</w:t>
      </w:r>
    </w:p>
    <w:p w14:paraId="5FEE0CAC" w14:textId="77777777" w:rsidR="0077200C" w:rsidRPr="005433D1" w:rsidRDefault="0077200C" w:rsidP="005433D1">
      <w:pPr>
        <w:spacing w:after="145"/>
        <w:ind w:left="-5" w:right="2"/>
        <w:jc w:val="both"/>
        <w:rPr>
          <w:sz w:val="20"/>
          <w:szCs w:val="20"/>
        </w:rPr>
      </w:pPr>
      <w:r w:rsidRPr="005433D1">
        <w:rPr>
          <w:sz w:val="20"/>
          <w:szCs w:val="20"/>
        </w:rPr>
        <w:t>In generale, le seguenti casistiche non costituiscono </w:t>
      </w:r>
      <w:r w:rsidRPr="005433D1">
        <w:rPr>
          <w:b/>
          <w:bCs/>
          <w:sz w:val="20"/>
          <w:szCs w:val="20"/>
        </w:rPr>
        <w:t>motivi validi</w:t>
      </w:r>
      <w:r w:rsidRPr="005433D1">
        <w:rPr>
          <w:sz w:val="20"/>
          <w:szCs w:val="20"/>
        </w:rPr>
        <w:t>:</w:t>
      </w:r>
    </w:p>
    <w:p w14:paraId="4A68FF18" w14:textId="77777777" w:rsidR="0077200C" w:rsidRPr="005433D1" w:rsidRDefault="0077200C" w:rsidP="005433D1">
      <w:pPr>
        <w:numPr>
          <w:ilvl w:val="0"/>
          <w:numId w:val="10"/>
        </w:numPr>
        <w:spacing w:after="145"/>
        <w:ind w:right="2"/>
        <w:jc w:val="both"/>
        <w:rPr>
          <w:sz w:val="20"/>
          <w:szCs w:val="20"/>
        </w:rPr>
      </w:pPr>
      <w:r w:rsidRPr="005433D1">
        <w:rPr>
          <w:sz w:val="20"/>
          <w:szCs w:val="20"/>
        </w:rPr>
        <w:t>Visita ad altri congiunti, conoscenti o amici</w:t>
      </w:r>
    </w:p>
    <w:p w14:paraId="390F290A" w14:textId="77777777" w:rsidR="0077200C" w:rsidRPr="005433D1" w:rsidRDefault="0077200C" w:rsidP="005433D1">
      <w:pPr>
        <w:numPr>
          <w:ilvl w:val="0"/>
          <w:numId w:val="10"/>
        </w:numPr>
        <w:spacing w:after="145"/>
        <w:ind w:right="2"/>
        <w:jc w:val="both"/>
        <w:rPr>
          <w:sz w:val="20"/>
          <w:szCs w:val="20"/>
        </w:rPr>
      </w:pPr>
      <w:r w:rsidRPr="005433D1">
        <w:rPr>
          <w:sz w:val="20"/>
          <w:szCs w:val="20"/>
        </w:rPr>
        <w:t>Esercizio di un'attività come ragazza alla pari, qualora non si sia ancora acquisito domicilio su territorio federale</w:t>
      </w:r>
    </w:p>
    <w:p w14:paraId="15A63F00" w14:textId="77777777" w:rsidR="0077200C" w:rsidRPr="005433D1" w:rsidRDefault="0077200C" w:rsidP="005433D1">
      <w:pPr>
        <w:numPr>
          <w:ilvl w:val="0"/>
          <w:numId w:val="10"/>
        </w:numPr>
        <w:spacing w:after="145"/>
        <w:ind w:right="2"/>
        <w:jc w:val="both"/>
        <w:rPr>
          <w:sz w:val="20"/>
          <w:szCs w:val="20"/>
        </w:rPr>
      </w:pPr>
      <w:r w:rsidRPr="005433D1">
        <w:rPr>
          <w:sz w:val="20"/>
          <w:szCs w:val="20"/>
        </w:rPr>
        <w:t>Gemellaggio studentesco o gite scolastiche</w:t>
      </w:r>
    </w:p>
    <w:p w14:paraId="25CB98BA" w14:textId="77777777" w:rsidR="0077200C" w:rsidRPr="005433D1" w:rsidRDefault="0077200C" w:rsidP="005433D1">
      <w:pPr>
        <w:numPr>
          <w:ilvl w:val="0"/>
          <w:numId w:val="10"/>
        </w:numPr>
        <w:spacing w:after="145"/>
        <w:ind w:right="2"/>
        <w:jc w:val="both"/>
        <w:rPr>
          <w:sz w:val="20"/>
          <w:szCs w:val="20"/>
        </w:rPr>
      </w:pPr>
      <w:r w:rsidRPr="005433D1">
        <w:rPr>
          <w:sz w:val="20"/>
          <w:szCs w:val="20"/>
        </w:rPr>
        <w:t>Contrazione su territorio federale di matrimonio</w:t>
      </w:r>
    </w:p>
    <w:p w14:paraId="0EAED41E" w14:textId="77777777" w:rsidR="0077200C" w:rsidRPr="005433D1" w:rsidRDefault="0077200C" w:rsidP="005433D1">
      <w:pPr>
        <w:numPr>
          <w:ilvl w:val="0"/>
          <w:numId w:val="10"/>
        </w:numPr>
        <w:spacing w:after="145"/>
        <w:ind w:right="2"/>
        <w:jc w:val="both"/>
        <w:rPr>
          <w:sz w:val="20"/>
          <w:szCs w:val="20"/>
        </w:rPr>
      </w:pPr>
      <w:r w:rsidRPr="005433D1">
        <w:rPr>
          <w:sz w:val="20"/>
          <w:szCs w:val="20"/>
        </w:rPr>
        <w:t>Viaggi di ingresso per scopi turistici o per acquisti</w:t>
      </w:r>
    </w:p>
    <w:p w14:paraId="640C2D62" w14:textId="77777777" w:rsidR="001D31D1" w:rsidRPr="005433D1" w:rsidRDefault="001D31D1" w:rsidP="005433D1">
      <w:pPr>
        <w:spacing w:after="145"/>
        <w:ind w:left="-5" w:right="2"/>
        <w:jc w:val="both"/>
        <w:rPr>
          <w:sz w:val="20"/>
          <w:szCs w:val="20"/>
        </w:rPr>
      </w:pPr>
    </w:p>
    <w:p w14:paraId="4235E211" w14:textId="77777777" w:rsidR="001D31D1" w:rsidRPr="005433D1" w:rsidRDefault="005350CD" w:rsidP="005433D1">
      <w:pPr>
        <w:spacing w:after="32" w:line="259" w:lineRule="auto"/>
        <w:jc w:val="both"/>
        <w:rPr>
          <w:sz w:val="20"/>
          <w:szCs w:val="20"/>
        </w:rPr>
      </w:pPr>
      <w:r w:rsidRPr="005433D1">
        <w:rPr>
          <w:sz w:val="20"/>
          <w:szCs w:val="20"/>
        </w:rPr>
        <w:t>Non av</w:t>
      </w:r>
      <w:r w:rsidR="00DF4C0F" w:rsidRPr="005433D1">
        <w:rPr>
          <w:sz w:val="20"/>
          <w:szCs w:val="20"/>
        </w:rPr>
        <w:t xml:space="preserve">endo </w:t>
      </w:r>
      <w:r w:rsidRPr="005433D1">
        <w:rPr>
          <w:sz w:val="20"/>
          <w:szCs w:val="20"/>
        </w:rPr>
        <w:t xml:space="preserve">la </w:t>
      </w:r>
      <w:r w:rsidR="00DF4C0F" w:rsidRPr="005433D1">
        <w:rPr>
          <w:sz w:val="20"/>
          <w:szCs w:val="20"/>
        </w:rPr>
        <w:t>cittadin</w:t>
      </w:r>
      <w:r w:rsidRPr="005433D1">
        <w:rPr>
          <w:sz w:val="20"/>
          <w:szCs w:val="20"/>
        </w:rPr>
        <w:t>anza</w:t>
      </w:r>
      <w:r w:rsidR="00DF4C0F" w:rsidRPr="005433D1">
        <w:rPr>
          <w:sz w:val="20"/>
          <w:szCs w:val="20"/>
        </w:rPr>
        <w:t xml:space="preserve"> tedesc</w:t>
      </w:r>
      <w:r w:rsidRPr="005433D1">
        <w:rPr>
          <w:sz w:val="20"/>
          <w:szCs w:val="20"/>
        </w:rPr>
        <w:t>a</w:t>
      </w:r>
      <w:r w:rsidR="00DF4C0F" w:rsidRPr="005433D1">
        <w:rPr>
          <w:sz w:val="20"/>
          <w:szCs w:val="20"/>
        </w:rPr>
        <w:t>, mi è consentito entrare in Germania se…</w:t>
      </w:r>
    </w:p>
    <w:p w14:paraId="282E7B5F" w14:textId="77777777" w:rsidR="00DE3D73" w:rsidRPr="005433D1" w:rsidRDefault="00DE3D73" w:rsidP="005433D1">
      <w:pPr>
        <w:spacing w:after="32" w:line="259" w:lineRule="auto"/>
        <w:jc w:val="both"/>
        <w:rPr>
          <w:sz w:val="20"/>
          <w:szCs w:val="20"/>
        </w:rPr>
      </w:pPr>
    </w:p>
    <w:p w14:paraId="1A3FB325" w14:textId="77777777" w:rsidR="001D31D1" w:rsidRPr="005433D1" w:rsidRDefault="00DF4C0F" w:rsidP="005433D1">
      <w:pPr>
        <w:spacing w:after="139" w:line="259" w:lineRule="auto"/>
        <w:ind w:left="0" w:firstLine="0"/>
        <w:jc w:val="both"/>
        <w:rPr>
          <w:sz w:val="20"/>
          <w:szCs w:val="20"/>
        </w:rPr>
      </w:pPr>
      <w:r w:rsidRPr="005433D1">
        <w:rPr>
          <w:sz w:val="20"/>
          <w:szCs w:val="20"/>
        </w:rPr>
        <w:t>... per via di cure sanitarie, un familiare necessita di essere accudito?</w:t>
      </w:r>
    </w:p>
    <w:p w14:paraId="18C85ECC" w14:textId="77777777" w:rsidR="001D31D1" w:rsidRPr="005433D1" w:rsidRDefault="00DF4C0F" w:rsidP="005433D1">
      <w:pPr>
        <w:spacing w:after="320"/>
        <w:ind w:left="-5" w:right="2"/>
        <w:jc w:val="both"/>
        <w:rPr>
          <w:sz w:val="20"/>
          <w:szCs w:val="20"/>
        </w:rPr>
      </w:pPr>
      <w:r w:rsidRPr="005433D1">
        <w:rPr>
          <w:sz w:val="20"/>
          <w:szCs w:val="20"/>
        </w:rPr>
        <w:t xml:space="preserve">Se il familiare </w:t>
      </w:r>
      <w:r w:rsidR="00DE3D73" w:rsidRPr="005433D1">
        <w:rPr>
          <w:sz w:val="20"/>
          <w:szCs w:val="20"/>
        </w:rPr>
        <w:t>viene assistito clinicamente</w:t>
      </w:r>
      <w:r w:rsidRPr="005433D1">
        <w:rPr>
          <w:sz w:val="20"/>
          <w:szCs w:val="20"/>
        </w:rPr>
        <w:t>, in generale l'ingresso non risulta necessario. L'ingresso è possibile nell’eventualità che risulti assolutamente necessaria che sia un familiare ad accudire il paziente. È permesso l’ingresso muniti di apposita certificazione/documentazione medica.</w:t>
      </w:r>
    </w:p>
    <w:p w14:paraId="59E96F1B" w14:textId="77777777" w:rsidR="001D31D1" w:rsidRPr="005433D1" w:rsidRDefault="00DF4C0F" w:rsidP="005433D1">
      <w:pPr>
        <w:spacing w:after="139" w:line="259" w:lineRule="auto"/>
        <w:ind w:left="0" w:firstLine="0"/>
        <w:jc w:val="both"/>
        <w:rPr>
          <w:sz w:val="20"/>
          <w:szCs w:val="20"/>
        </w:rPr>
      </w:pPr>
      <w:r w:rsidRPr="005433D1">
        <w:rPr>
          <w:sz w:val="20"/>
          <w:szCs w:val="20"/>
        </w:rPr>
        <w:t>... per delle cure mediche all'estero, devo andare a prendere un familiare?</w:t>
      </w:r>
    </w:p>
    <w:p w14:paraId="6B584515" w14:textId="77777777" w:rsidR="001D31D1" w:rsidRPr="005433D1" w:rsidRDefault="00DF4C0F" w:rsidP="005433D1">
      <w:pPr>
        <w:spacing w:after="320"/>
        <w:ind w:left="-5" w:right="2"/>
        <w:jc w:val="both"/>
        <w:rPr>
          <w:sz w:val="20"/>
          <w:szCs w:val="20"/>
        </w:rPr>
      </w:pPr>
      <w:r w:rsidRPr="005433D1">
        <w:rPr>
          <w:sz w:val="20"/>
          <w:szCs w:val="20"/>
        </w:rPr>
        <w:t>È permesso l’ingresso muniti di apposita certificazione/documentazione medica da cui risulti che ciò è assolutamente necessario.</w:t>
      </w:r>
    </w:p>
    <w:p w14:paraId="345F3482" w14:textId="77777777" w:rsidR="001D31D1" w:rsidRPr="005433D1" w:rsidRDefault="00DF4C0F" w:rsidP="005433D1">
      <w:pPr>
        <w:spacing w:after="139" w:line="259" w:lineRule="auto"/>
        <w:ind w:left="0" w:firstLine="0"/>
        <w:jc w:val="both"/>
        <w:rPr>
          <w:sz w:val="20"/>
          <w:szCs w:val="20"/>
        </w:rPr>
      </w:pPr>
      <w:r w:rsidRPr="005433D1">
        <w:rPr>
          <w:sz w:val="20"/>
          <w:szCs w:val="20"/>
        </w:rPr>
        <w:t>... devo aiutare un familiare/amico a traslocare?</w:t>
      </w:r>
    </w:p>
    <w:p w14:paraId="436E3F0F" w14:textId="77777777" w:rsidR="001D31D1" w:rsidRPr="005433D1" w:rsidRDefault="00DF4C0F" w:rsidP="005433D1">
      <w:pPr>
        <w:spacing w:after="323"/>
        <w:ind w:left="-5" w:right="2"/>
        <w:jc w:val="both"/>
        <w:rPr>
          <w:sz w:val="20"/>
          <w:szCs w:val="20"/>
        </w:rPr>
      </w:pPr>
      <w:r w:rsidRPr="005433D1">
        <w:rPr>
          <w:sz w:val="20"/>
          <w:szCs w:val="20"/>
        </w:rPr>
        <w:t>In questo caso l'ingresso non è consentito.</w:t>
      </w:r>
    </w:p>
    <w:p w14:paraId="77760880" w14:textId="77777777" w:rsidR="001D31D1" w:rsidRPr="005433D1" w:rsidRDefault="00DF4C0F" w:rsidP="005433D1">
      <w:pPr>
        <w:spacing w:after="139" w:line="259" w:lineRule="auto"/>
        <w:ind w:left="0" w:firstLine="0"/>
        <w:jc w:val="both"/>
        <w:rPr>
          <w:sz w:val="20"/>
          <w:szCs w:val="20"/>
        </w:rPr>
      </w:pPr>
      <w:r w:rsidRPr="005433D1">
        <w:rPr>
          <w:sz w:val="20"/>
          <w:szCs w:val="20"/>
        </w:rPr>
        <w:t>... ho in Germania un appuntamento dal notaio?</w:t>
      </w:r>
    </w:p>
    <w:p w14:paraId="0630FF7A" w14:textId="77777777" w:rsidR="00843719" w:rsidRPr="005433D1" w:rsidRDefault="00DF4C0F" w:rsidP="005433D1">
      <w:pPr>
        <w:spacing w:after="323"/>
        <w:ind w:left="-5" w:right="2"/>
        <w:jc w:val="both"/>
        <w:rPr>
          <w:sz w:val="20"/>
          <w:szCs w:val="20"/>
        </w:rPr>
      </w:pPr>
      <w:r w:rsidRPr="005433D1">
        <w:rPr>
          <w:sz w:val="20"/>
          <w:szCs w:val="20"/>
        </w:rPr>
        <w:t>Generalmente, l'ingresso non è possibile in questo caso.</w:t>
      </w:r>
    </w:p>
    <w:p w14:paraId="20C5B13B" w14:textId="77777777" w:rsidR="001D31D1" w:rsidRPr="005433D1" w:rsidRDefault="00843719" w:rsidP="005433D1">
      <w:pPr>
        <w:spacing w:after="0" w:line="259" w:lineRule="auto"/>
        <w:ind w:left="-6" w:hanging="11"/>
        <w:jc w:val="both"/>
        <w:rPr>
          <w:sz w:val="20"/>
          <w:szCs w:val="20"/>
        </w:rPr>
      </w:pPr>
      <w:r w:rsidRPr="005433D1">
        <w:rPr>
          <w:sz w:val="20"/>
          <w:szCs w:val="20"/>
        </w:rPr>
        <w:t xml:space="preserve"> ... devo occuparmi di una proprietà di mio possesso in Germania?</w:t>
      </w:r>
    </w:p>
    <w:p w14:paraId="5B2CE9F7" w14:textId="77777777" w:rsidR="00DE3D73" w:rsidRPr="005433D1" w:rsidRDefault="00DE3D73" w:rsidP="005433D1">
      <w:pPr>
        <w:spacing w:after="0" w:line="259" w:lineRule="auto"/>
        <w:ind w:left="-6" w:hanging="11"/>
        <w:jc w:val="both"/>
        <w:rPr>
          <w:sz w:val="20"/>
          <w:szCs w:val="20"/>
        </w:rPr>
      </w:pPr>
    </w:p>
    <w:p w14:paraId="65189826" w14:textId="77777777" w:rsidR="001D31D1" w:rsidRPr="005433D1" w:rsidRDefault="00DF4C0F" w:rsidP="005433D1">
      <w:pPr>
        <w:spacing w:after="326"/>
        <w:ind w:left="-5" w:right="2"/>
        <w:jc w:val="both"/>
        <w:rPr>
          <w:sz w:val="20"/>
          <w:szCs w:val="20"/>
        </w:rPr>
      </w:pPr>
      <w:r w:rsidRPr="005433D1">
        <w:rPr>
          <w:sz w:val="20"/>
          <w:szCs w:val="20"/>
        </w:rPr>
        <w:t>Generalmente, l'ingresso non è possibile in questo caso.</w:t>
      </w:r>
    </w:p>
    <w:p w14:paraId="7B91C776" w14:textId="77777777" w:rsidR="001D31D1" w:rsidRPr="005433D1" w:rsidRDefault="00DF4C0F" w:rsidP="005433D1">
      <w:pPr>
        <w:spacing w:after="139" w:line="259" w:lineRule="auto"/>
        <w:ind w:left="0" w:firstLine="0"/>
        <w:jc w:val="both"/>
        <w:rPr>
          <w:sz w:val="20"/>
          <w:szCs w:val="20"/>
        </w:rPr>
      </w:pPr>
      <w:r w:rsidRPr="005433D1">
        <w:rPr>
          <w:sz w:val="20"/>
          <w:szCs w:val="20"/>
        </w:rPr>
        <w:t>...voglio recarmi nella mia seconda casa in Germania?</w:t>
      </w:r>
    </w:p>
    <w:p w14:paraId="229DFC05" w14:textId="77777777" w:rsidR="001D31D1" w:rsidRPr="005433D1" w:rsidRDefault="00DF4C0F" w:rsidP="005433D1">
      <w:pPr>
        <w:spacing w:after="347"/>
        <w:ind w:left="-5" w:right="2"/>
        <w:jc w:val="both"/>
        <w:rPr>
          <w:sz w:val="20"/>
          <w:szCs w:val="20"/>
        </w:rPr>
      </w:pPr>
      <w:r w:rsidRPr="005433D1">
        <w:rPr>
          <w:sz w:val="20"/>
          <w:szCs w:val="20"/>
        </w:rPr>
        <w:t>Generalmente, l'ingresso non è possibile in questo caso.</w:t>
      </w:r>
    </w:p>
    <w:p w14:paraId="21DA12ED" w14:textId="77777777" w:rsidR="001D31D1" w:rsidRPr="005433D1" w:rsidRDefault="00DF4C0F" w:rsidP="005433D1">
      <w:pPr>
        <w:spacing w:after="119" w:line="259" w:lineRule="auto"/>
        <w:ind w:left="266" w:firstLine="0"/>
        <w:jc w:val="both"/>
        <w:rPr>
          <w:b/>
          <w:sz w:val="20"/>
          <w:szCs w:val="20"/>
        </w:rPr>
      </w:pPr>
      <w:r w:rsidRPr="005433D1">
        <w:rPr>
          <w:b/>
          <w:sz w:val="20"/>
          <w:szCs w:val="20"/>
        </w:rPr>
        <w:t>La polizia federale rilascia certificazioni attestanti motivi validi?</w:t>
      </w:r>
    </w:p>
    <w:p w14:paraId="4614D009" w14:textId="77777777" w:rsidR="0077200C" w:rsidRPr="005433D1" w:rsidRDefault="00DF4C0F" w:rsidP="005433D1">
      <w:pPr>
        <w:spacing w:after="344"/>
        <w:ind w:left="-5" w:right="2"/>
        <w:jc w:val="both"/>
        <w:rPr>
          <w:sz w:val="20"/>
          <w:szCs w:val="20"/>
        </w:rPr>
      </w:pPr>
      <w:r w:rsidRPr="005433D1">
        <w:rPr>
          <w:sz w:val="20"/>
          <w:szCs w:val="20"/>
        </w:rPr>
        <w:t>I motivi validi vanno addotti</w:t>
      </w:r>
      <w:r w:rsidR="00DE3D73" w:rsidRPr="005433D1">
        <w:rPr>
          <w:sz w:val="20"/>
          <w:szCs w:val="20"/>
        </w:rPr>
        <w:t xml:space="preserve"> ai controlli di frontiera</w:t>
      </w:r>
      <w:r w:rsidRPr="005433D1">
        <w:rPr>
          <w:sz w:val="20"/>
          <w:szCs w:val="20"/>
        </w:rPr>
        <w:t xml:space="preserve"> al momento dell’in</w:t>
      </w:r>
      <w:r w:rsidR="00DE3D73" w:rsidRPr="005433D1">
        <w:rPr>
          <w:sz w:val="20"/>
          <w:szCs w:val="20"/>
        </w:rPr>
        <w:t xml:space="preserve">gresso </w:t>
      </w:r>
      <w:r w:rsidRPr="005433D1">
        <w:rPr>
          <w:sz w:val="20"/>
          <w:szCs w:val="20"/>
        </w:rPr>
        <w:t>avvalendosi di apposita documentazione. Ciascuna situazione viene analizzata singolarmente e fa testo solo per quel caso specifico. La decisione conclusiva in merito all'ingresso sta alla debita discrezionalità dei funzionari sul posto. Non è possibile rilasciare attestati in anticipo.</w:t>
      </w:r>
    </w:p>
    <w:p w14:paraId="277DBD1E" w14:textId="77777777" w:rsidR="001D31D1" w:rsidRPr="005433D1" w:rsidRDefault="001D31D1" w:rsidP="005433D1">
      <w:pPr>
        <w:ind w:left="-5" w:right="2"/>
        <w:jc w:val="both"/>
        <w:rPr>
          <w:sz w:val="20"/>
          <w:szCs w:val="20"/>
        </w:rPr>
      </w:pPr>
    </w:p>
    <w:sectPr w:rsidR="001D31D1" w:rsidRPr="005433D1" w:rsidSect="005433D1">
      <w:headerReference w:type="even" r:id="rId10"/>
      <w:headerReference w:type="default" r:id="rId11"/>
      <w:footerReference w:type="even" r:id="rId12"/>
      <w:footerReference w:type="default" r:id="rId13"/>
      <w:headerReference w:type="first" r:id="rId14"/>
      <w:footerReference w:type="first" r:id="rId15"/>
      <w:pgSz w:w="11906" w:h="16838"/>
      <w:pgMar w:top="771" w:right="849" w:bottom="905" w:left="845" w:header="42" w:footer="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25B8E" w14:textId="77777777" w:rsidR="00C67E36" w:rsidRDefault="00C67E36">
      <w:pPr>
        <w:spacing w:after="0" w:line="240" w:lineRule="auto"/>
      </w:pPr>
      <w:r>
        <w:separator/>
      </w:r>
    </w:p>
  </w:endnote>
  <w:endnote w:type="continuationSeparator" w:id="0">
    <w:p w14:paraId="75B77C5E" w14:textId="77777777" w:rsidR="00C67E36" w:rsidRDefault="00C67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97DBE" w14:textId="77777777" w:rsidR="001D31D1" w:rsidRDefault="00DF4C0F">
    <w:pPr>
      <w:tabs>
        <w:tab w:val="right" w:pos="11055"/>
      </w:tabs>
      <w:spacing w:after="0" w:line="259" w:lineRule="auto"/>
      <w:ind w:left="-845" w:right="-2395" w:firstLine="0"/>
    </w:pPr>
    <w:r>
      <w:fldChar w:fldCharType="begin"/>
    </w:r>
    <w:r>
      <w:instrText xml:space="preserve"> PAGE   \* MERGEFORMAT </w:instrText>
    </w:r>
    <w:r>
      <w:fldChar w:fldCharType="separate"/>
    </w:r>
    <w:r>
      <w:rPr>
        <w:noProof/>
        <w:sz w:val="20"/>
      </w:rPr>
      <w:t>1</w:t>
    </w:r>
    <w:r>
      <w:rPr>
        <w:sz w:val="20"/>
      </w:rPr>
      <w:fldChar w:fldCharType="end"/>
    </w:r>
    <w:r>
      <w:rPr>
        <w:sz w:val="20"/>
      </w:rPr>
      <w:t xml:space="preserve"> da </w:t>
    </w:r>
    <w:r w:rsidR="00C67E36">
      <w:fldChar w:fldCharType="begin"/>
    </w:r>
    <w:r w:rsidR="00C67E36">
      <w:instrText xml:space="preserve"> NUMPAGES   \* MERGEFORMAT </w:instrText>
    </w:r>
    <w:r w:rsidR="00C67E36">
      <w:fldChar w:fldCharType="separate"/>
    </w:r>
    <w:r w:rsidR="00E301A2" w:rsidRPr="00E301A2">
      <w:rPr>
        <w:noProof/>
        <w:sz w:val="20"/>
      </w:rPr>
      <w:t>1</w:t>
    </w:r>
    <w:r w:rsidR="00C67E36">
      <w:rPr>
        <w:noProof/>
        <w:sz w:val="20"/>
      </w:rPr>
      <w:fldChar w:fldCharType="end"/>
    </w:r>
    <w:r>
      <w:rPr>
        <w:sz w:val="20"/>
      </w:rPr>
      <w:tab/>
      <w:t>28.04.2020, 11:35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2F9DB" w14:textId="77777777" w:rsidR="001D31D1" w:rsidRDefault="001D31D1">
    <w:pPr>
      <w:tabs>
        <w:tab w:val="right" w:pos="11055"/>
      </w:tabs>
      <w:spacing w:after="0" w:line="259" w:lineRule="auto"/>
      <w:ind w:left="-845" w:right="-2395"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4D023" w14:textId="77777777" w:rsidR="001D31D1" w:rsidRDefault="00DF4C0F">
    <w:pPr>
      <w:tabs>
        <w:tab w:val="right" w:pos="11055"/>
      </w:tabs>
      <w:spacing w:after="0" w:line="259" w:lineRule="auto"/>
      <w:ind w:left="-845" w:right="-2395" w:firstLine="0"/>
    </w:pPr>
    <w:r>
      <w:fldChar w:fldCharType="begin"/>
    </w:r>
    <w:r>
      <w:instrText xml:space="preserve"> PAGE   \* MERGEFORMAT </w:instrText>
    </w:r>
    <w:r>
      <w:fldChar w:fldCharType="separate"/>
    </w:r>
    <w:r>
      <w:rPr>
        <w:noProof/>
        <w:sz w:val="20"/>
      </w:rPr>
      <w:t>1</w:t>
    </w:r>
    <w:r>
      <w:rPr>
        <w:sz w:val="20"/>
      </w:rPr>
      <w:fldChar w:fldCharType="end"/>
    </w:r>
    <w:r>
      <w:rPr>
        <w:sz w:val="20"/>
      </w:rPr>
      <w:t xml:space="preserve"> da </w:t>
    </w:r>
    <w:r w:rsidR="00C67E36">
      <w:fldChar w:fldCharType="begin"/>
    </w:r>
    <w:r w:rsidR="00C67E36">
      <w:instrText xml:space="preserve"> NUMPAGES   \* MERGEFORMAT </w:instrText>
    </w:r>
    <w:r w:rsidR="00C67E36">
      <w:fldChar w:fldCharType="separate"/>
    </w:r>
    <w:r w:rsidR="00E301A2" w:rsidRPr="00E301A2">
      <w:rPr>
        <w:noProof/>
        <w:sz w:val="20"/>
      </w:rPr>
      <w:t>1</w:t>
    </w:r>
    <w:r w:rsidR="00C67E36">
      <w:rPr>
        <w:noProof/>
        <w:sz w:val="20"/>
      </w:rPr>
      <w:fldChar w:fldCharType="end"/>
    </w:r>
    <w:r>
      <w:rPr>
        <w:sz w:val="20"/>
      </w:rPr>
      <w:tab/>
      <w:t>28.04.2020, 11:35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9CCBD" w14:textId="77777777" w:rsidR="00C67E36" w:rsidRDefault="00C67E36">
      <w:pPr>
        <w:spacing w:after="0" w:line="240" w:lineRule="auto"/>
      </w:pPr>
      <w:r>
        <w:separator/>
      </w:r>
    </w:p>
  </w:footnote>
  <w:footnote w:type="continuationSeparator" w:id="0">
    <w:p w14:paraId="33F4AEE6" w14:textId="77777777" w:rsidR="00C67E36" w:rsidRDefault="00C67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5544D" w14:textId="77777777" w:rsidR="001D31D1" w:rsidRDefault="00DF4C0F">
    <w:pPr>
      <w:tabs>
        <w:tab w:val="right" w:pos="11053"/>
      </w:tabs>
      <w:spacing w:after="0" w:line="259" w:lineRule="auto"/>
      <w:ind w:left="-845" w:right="-2393" w:firstLine="0"/>
    </w:pPr>
    <w:r>
      <w:rPr>
        <w:sz w:val="20"/>
      </w:rPr>
      <w:t>Polizia federale - Aggiornamenti - Virus Corona: Risposte alle domande più frequenti... https://www.bundespolizei.de/Web/DE/04Aktuelles/01Meldungen/202...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EA9FE" w14:textId="77777777" w:rsidR="001D31D1" w:rsidRDefault="001D31D1">
    <w:pPr>
      <w:tabs>
        <w:tab w:val="right" w:pos="11053"/>
      </w:tabs>
      <w:spacing w:after="0" w:line="259" w:lineRule="auto"/>
      <w:ind w:left="-845" w:right="-2393"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864BD" w14:textId="77777777" w:rsidR="001D31D1" w:rsidRDefault="00DF4C0F">
    <w:pPr>
      <w:tabs>
        <w:tab w:val="right" w:pos="11053"/>
      </w:tabs>
      <w:spacing w:after="0" w:line="259" w:lineRule="auto"/>
      <w:ind w:left="-845" w:right="-2393" w:firstLine="0"/>
    </w:pPr>
    <w:r>
      <w:rPr>
        <w:sz w:val="20"/>
      </w:rPr>
      <w:t>Polizia federale - Aggiornamenti - Virus Corona: Risposte alle domande più frequenti... https://www.bundespolizei.de/Web/DE/04Aktuelles/01Meldungen/202...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97573"/>
    <w:multiLevelType w:val="hybridMultilevel"/>
    <w:tmpl w:val="2F8C9B80"/>
    <w:lvl w:ilvl="0" w:tplc="13B67082">
      <w:start w:val="1"/>
      <w:numFmt w:val="decimal"/>
      <w:lvlText w:val="%1."/>
      <w:lvlJc w:val="left"/>
      <w:pPr>
        <w:ind w:left="3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0CCC55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B6A52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DB4878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D6F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7AC06A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F1E2D4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D6A28D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A8B64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BF0B70"/>
    <w:multiLevelType w:val="hybridMultilevel"/>
    <w:tmpl w:val="F4FE603A"/>
    <w:lvl w:ilvl="0" w:tplc="2D72D826">
      <w:start w:val="7"/>
      <w:numFmt w:val="decimal"/>
      <w:lvlText w:val="%1."/>
      <w:lvlJc w:val="left"/>
      <w:pPr>
        <w:ind w:left="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869F9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FC222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EA5CA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504ED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8E194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785D2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6AB57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16127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66701B"/>
    <w:multiLevelType w:val="multilevel"/>
    <w:tmpl w:val="FF7E0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BC01A9"/>
    <w:multiLevelType w:val="hybridMultilevel"/>
    <w:tmpl w:val="D1C8804C"/>
    <w:lvl w:ilvl="0" w:tplc="56F6A3A0">
      <w:start w:val="2"/>
      <w:numFmt w:val="decimal"/>
      <w:lvlText w:val="%1."/>
      <w:lvlJc w:val="left"/>
      <w:pPr>
        <w:ind w:left="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EC450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34D7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D2B39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D052D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DC16F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62430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C2576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2EE48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CA38AD"/>
    <w:multiLevelType w:val="multilevel"/>
    <w:tmpl w:val="28B04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2A780D"/>
    <w:multiLevelType w:val="multilevel"/>
    <w:tmpl w:val="D5826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904A13"/>
    <w:multiLevelType w:val="hybridMultilevel"/>
    <w:tmpl w:val="EB04B46A"/>
    <w:lvl w:ilvl="0" w:tplc="CA32792C">
      <w:start w:val="2"/>
      <w:numFmt w:val="decimal"/>
      <w:lvlText w:val="%1."/>
      <w:lvlJc w:val="left"/>
      <w:pPr>
        <w:ind w:left="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1FA1C16">
      <w:start w:val="1"/>
      <w:numFmt w:val="decimal"/>
      <w:lvlText w:val="%2."/>
      <w:lvlJc w:val="left"/>
      <w:pPr>
        <w:ind w:left="151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C316D0DC">
      <w:start w:val="1"/>
      <w:numFmt w:val="lowerRoman"/>
      <w:lvlText w:val="%3"/>
      <w:lvlJc w:val="left"/>
      <w:pPr>
        <w:ind w:left="21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17B85A8E">
      <w:start w:val="1"/>
      <w:numFmt w:val="decimal"/>
      <w:lvlText w:val="%4"/>
      <w:lvlJc w:val="left"/>
      <w:pPr>
        <w:ind w:left="28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7B0844F0">
      <w:start w:val="1"/>
      <w:numFmt w:val="lowerLetter"/>
      <w:lvlText w:val="%5"/>
      <w:lvlJc w:val="left"/>
      <w:pPr>
        <w:ind w:left="36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0F92B050">
      <w:start w:val="1"/>
      <w:numFmt w:val="lowerRoman"/>
      <w:lvlText w:val="%6"/>
      <w:lvlJc w:val="left"/>
      <w:pPr>
        <w:ind w:left="43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7FD22CB6">
      <w:start w:val="1"/>
      <w:numFmt w:val="decimal"/>
      <w:lvlText w:val="%7"/>
      <w:lvlJc w:val="left"/>
      <w:pPr>
        <w:ind w:left="50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8BB62C52">
      <w:start w:val="1"/>
      <w:numFmt w:val="lowerLetter"/>
      <w:lvlText w:val="%8"/>
      <w:lvlJc w:val="left"/>
      <w:pPr>
        <w:ind w:left="57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0ECCB12">
      <w:start w:val="1"/>
      <w:numFmt w:val="lowerRoman"/>
      <w:lvlText w:val="%9"/>
      <w:lvlJc w:val="left"/>
      <w:pPr>
        <w:ind w:left="64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26973460"/>
    <w:multiLevelType w:val="multilevel"/>
    <w:tmpl w:val="2F5C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A036BE"/>
    <w:multiLevelType w:val="multilevel"/>
    <w:tmpl w:val="9FA4C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5E1BF3"/>
    <w:multiLevelType w:val="hybridMultilevel"/>
    <w:tmpl w:val="00CCC8CC"/>
    <w:lvl w:ilvl="0" w:tplc="D396C51C">
      <w:start w:val="5"/>
      <w:numFmt w:val="decimal"/>
      <w:lvlText w:val="%1."/>
      <w:lvlJc w:val="left"/>
      <w:pPr>
        <w:ind w:left="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96225C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36867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72F0D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12FAD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66748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D6AC4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D899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54002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3"/>
  </w:num>
  <w:num w:numId="3">
    <w:abstractNumId w:val="9"/>
  </w:num>
  <w:num w:numId="4">
    <w:abstractNumId w:val="0"/>
  </w:num>
  <w:num w:numId="5">
    <w:abstractNumId w:val="1"/>
  </w:num>
  <w:num w:numId="6">
    <w:abstractNumId w:val="8"/>
  </w:num>
  <w:num w:numId="7">
    <w:abstractNumId w:val="2"/>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1D1"/>
    <w:rsid w:val="001D31D1"/>
    <w:rsid w:val="001F1FEF"/>
    <w:rsid w:val="00384D99"/>
    <w:rsid w:val="005350CD"/>
    <w:rsid w:val="005433D1"/>
    <w:rsid w:val="0077200C"/>
    <w:rsid w:val="00807E44"/>
    <w:rsid w:val="00843719"/>
    <w:rsid w:val="00A87840"/>
    <w:rsid w:val="00C67E36"/>
    <w:rsid w:val="00DE3D73"/>
    <w:rsid w:val="00DF4C0F"/>
    <w:rsid w:val="00E301A2"/>
    <w:rsid w:val="00E67C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3FC11"/>
  <w15:docId w15:val="{01DF21DC-0A2B-47E8-BEAA-1CE1F9A6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73" w:line="293" w:lineRule="auto"/>
      <w:ind w:left="408" w:hanging="10"/>
    </w:pPr>
    <w:rPr>
      <w:rFonts w:ascii="Times New Roman" w:eastAsia="Times New Roman" w:hAnsi="Times New Roman" w:cs="Times New Roman"/>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301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ur-lex.europa.eu/legal-content/IT/TXT/HTML/?uri=CELEX:52020XC0330(03)&amp;from=I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894</Words>
  <Characters>5097</Characters>
  <Application>Microsoft Office Word</Application>
  <DocSecurity>0</DocSecurity>
  <Lines>42</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Bundespolizei - Aktuelles - Corona-Virus: Antworten auf hÃ¤ufig gestellte Fragen (FAQ)</vt:lpstr>
      <vt:lpstr>Bundespolizei - Aktuelles - Corona-Virus: Antworten auf hÃ¤ufig gestellte Fragen (FAQ)</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Bundespolizei - Aktuelles - Corona-Virus: Antworten auf hÃ¤ufig gestellte Fragen (FAQ)</dc:title>
  <dc:subject/>
  <dc:creator>Egi</dc:creator>
  <cp:keywords/>
  <cp:lastModifiedBy>Bianca Revello</cp:lastModifiedBy>
  <cp:revision>2</cp:revision>
  <dcterms:created xsi:type="dcterms:W3CDTF">2020-05-07T15:56:00Z</dcterms:created>
  <dcterms:modified xsi:type="dcterms:W3CDTF">2020-05-07T15:56:00Z</dcterms:modified>
</cp:coreProperties>
</file>